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highlight w:val="yellow"/>
        </w:rPr>
      </w:pPr>
    </w:p>
    <w:p>
      <w:pPr>
        <w:ind w:left="5664"/>
        <w:rPr>
          <w:rFonts w:ascii="Verdana" w:hAnsi="Verdana"/>
        </w:rPr>
      </w:pPr>
      <w:r>
        <w:rPr>
          <w:rFonts w:ascii="Verdana" w:hAnsi="Verdana"/>
        </w:rPr>
        <w:t>DATE : 25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SECONDAIRE ORDINAIRE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 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r>
        <w:rPr>
          <w:rFonts w:ascii="Verdana" w:hAnsi="Verdana" w:cs="Verdana"/>
          <w:color w:val="0563C2"/>
        </w:rPr>
        <w:t>selection.promotion(at)w-b-e.be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u w:val="single"/>
        </w:rPr>
        <w:t>Coordonnées de l'école</w:t>
      </w:r>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Athénée royal Victor Hugo Haren</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w:t>
      </w:r>
      <w:r>
        <w:t xml:space="preserve"> </w:t>
      </w:r>
      <w:r>
        <w:rPr>
          <w:rFonts w:ascii="Verdana" w:hAnsi="Verdana"/>
        </w:rPr>
        <w:t>Avenue de la Métrologie 2/4</w:t>
      </w:r>
      <w:r>
        <w:rPr>
          <w:rFonts w:ascii="Arial" w:hAnsi="Arial" w:cs="Arial"/>
        </w:rPr>
        <w:t>,</w:t>
      </w:r>
      <w:r>
        <w:rPr>
          <w:rFonts w:ascii="Verdana" w:hAnsi="Verdana"/>
        </w:rPr>
        <w:t xml:space="preserve"> 1130 Bruxelles</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r>
        <w:rPr>
          <w:rFonts w:ascii="Verdana" w:hAnsi="Verdana"/>
        </w:rPr>
        <w:t>http://www.arvictorhugo.be/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01/03/2021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L’Athénée royal Victor Hugo a ouvert ses portes en septembre 2019 suite au constat d’une zone en tension démographique et en demande d’une offre d’enseignement secondaire.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structurelles.</w:t>
      </w:r>
      <w:r>
        <w:rPr>
          <w:rFonts w:ascii="Verdana" w:hAnsi="Verdana"/>
        </w:rPr>
        <w:tab/>
      </w:r>
      <w:r>
        <w:rPr>
          <w:rFonts w:ascii="Verdana" w:hAnsi="Verdana"/>
        </w:rPr>
        <w:br/>
        <w:t xml:space="preserve">Le bâtiment comporte 4 étages pouvant être exploités. À ce jour, seul le rez-de-chaussée est actuellement utilisé et utilisable. Afin de pérenniser l’évolution, les travaux donnant accès aux trois autres étages sont prévus pendant l’année scolaire 2020-2021. Aux termes des rénovations, l’Athénée pourra accueillir jusqu’à 650 élèves de l’enseignement général.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de la population scolaire.</w:t>
      </w:r>
      <w:r>
        <w:rPr>
          <w:rFonts w:ascii="Verdana" w:hAnsi="Verdana"/>
        </w:rPr>
        <w:tab/>
      </w:r>
      <w:r>
        <w:rPr>
          <w:rFonts w:ascii="Verdana" w:hAnsi="Verdana"/>
        </w:rPr>
        <w:br/>
        <w:t>L’établissement enregistre une forte hausse de la population scolaire. Durant l’année scolaire 2019-2020, l’établissement comptait 36 élèves répartis en deux classes. Actuellement, l’école a accepté l’inscription et la fréquentation de 90 élèves répartis dans les cinq classes du premier degré. Cette année marque le début de la préparation du deuxième degré qui doit s’ouvrir en septembre 2021.</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Équipe d’encadrement.</w:t>
      </w:r>
      <w:r>
        <w:rPr>
          <w:rFonts w:ascii="Verdana" w:hAnsi="Verdana"/>
        </w:rPr>
        <w:tab/>
      </w:r>
      <w:r>
        <w:rPr>
          <w:rFonts w:ascii="Verdana" w:hAnsi="Verdana"/>
        </w:rPr>
        <w:br/>
        <w:t>L’équipe éducative est composée de :</w:t>
      </w:r>
      <w:r>
        <w:rPr>
          <w:rFonts w:ascii="Verdana" w:hAnsi="Verdana"/>
        </w:rPr>
        <w:tab/>
        <w:t xml:space="preserve"> </w:t>
      </w:r>
      <w:r>
        <w:rPr>
          <w:rFonts w:ascii="Verdana" w:hAnsi="Verdana"/>
        </w:rPr>
        <w:br/>
      </w:r>
      <w:r>
        <w:rPr>
          <w:rFonts w:ascii="Verdana" w:hAnsi="Verdana"/>
        </w:rPr>
        <w:tab/>
        <w:t>- 13 membres du personnel enseignants.</w:t>
      </w:r>
      <w:r>
        <w:rPr>
          <w:rFonts w:ascii="Verdana" w:hAnsi="Verdana"/>
        </w:rPr>
        <w:tab/>
      </w:r>
      <w:r>
        <w:rPr>
          <w:rFonts w:ascii="Verdana" w:hAnsi="Verdana"/>
        </w:rPr>
        <w:br/>
      </w:r>
      <w:r>
        <w:rPr>
          <w:rFonts w:ascii="Verdana" w:hAnsi="Verdana"/>
        </w:rPr>
        <w:tab/>
        <w:t>- 1 comptable et 1 éducatrice.</w:t>
      </w:r>
      <w:r>
        <w:rPr>
          <w:rFonts w:ascii="Verdana" w:hAnsi="Verdana"/>
        </w:rPr>
        <w:tab/>
      </w:r>
      <w:r>
        <w:rPr>
          <w:rFonts w:ascii="Verdana" w:hAnsi="Verdana"/>
          <w:highlight w:val="green"/>
          <w:u w:val="single"/>
        </w:rPr>
        <w:br/>
      </w:r>
      <w:r>
        <w:rPr>
          <w:rFonts w:ascii="Verdana" w:hAnsi="Verdana"/>
          <w:highlight w:val="green"/>
        </w:rPr>
        <w:t xml:space="preserve"> </w:t>
      </w:r>
      <w:r>
        <w:rPr>
          <w:rFonts w:ascii="Verdana" w:hAnsi="Verdana"/>
          <w:highlight w:val="green"/>
        </w:rPr>
        <w:br/>
      </w:r>
      <w:r>
        <w:rPr>
          <w:rFonts w:ascii="Verdana" w:hAnsi="Verdana"/>
          <w:u w:val="single"/>
        </w:rPr>
        <w:t>Caractéristiques pédagogiques.</w:t>
      </w:r>
      <w:r>
        <w:rPr>
          <w:rFonts w:ascii="Verdana" w:hAnsi="Verdana"/>
        </w:rPr>
        <w:tab/>
      </w:r>
      <w:r>
        <w:rPr>
          <w:rFonts w:ascii="Verdana" w:hAnsi="Verdana"/>
        </w:rPr>
        <w:br/>
        <w:t>L’Athénée est un établissement de pédagogie active et fonctionne selon une organisation en classe P45. L’établissement fait partie de la vague 3 des plans de pilotage. Le projet d’école est à construire.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Attractivité de l’école.</w:t>
      </w:r>
      <w:r>
        <w:rPr>
          <w:rFonts w:ascii="Verdana" w:hAnsi="Verdana"/>
        </w:rPr>
        <w:tab/>
      </w:r>
      <w:r>
        <w:rPr>
          <w:rFonts w:ascii="Verdana" w:hAnsi="Verdana"/>
        </w:rPr>
        <w:br/>
        <w:t xml:space="preserve">L’Athénée est en partenariat avec l’implantation de Lauzelle (A.R Paul Delvaux) à Ottignies-Louvain-la-Neuve pour l’utilisation de la pédagogie active. L’équipe éducative bénéficie de la longue expérience de Lauzelle qui conseille les professeurs de Victor Hugo dans ce projet pédagogique. Les projets d’infrastructure et de pédagogie ne manquent pas, c’est le lieu idéal pour une direction souhaitant s’investir et contribuer au succès d’une nouvelle école.  </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rPr>
        <w:t xml:space="preserve">Annick Bratun, Préfète Coordonnatrice de la zone BXL. </w:t>
      </w:r>
      <w:r>
        <w:rPr>
          <w:rFonts w:ascii="Verdana" w:hAnsi="Verdana"/>
        </w:rPr>
        <w:br/>
        <w:t>Email : annick.bratun(at)cfwb.be</w:t>
      </w:r>
    </w:p>
    <w:p>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 xml:space="preserve">Nature de l’emploi </w:t>
      </w:r>
      <w:r>
        <w:rPr>
          <w:rFonts w:ascii="Verdana" w:hAnsi="Verdana" w:cs="Arial"/>
          <w:b/>
          <w:bCs/>
          <w:color w:val="000000" w:themeColor="text1"/>
        </w:rPr>
        <w:t xml:space="preserve">: </w:t>
      </w:r>
      <w:r>
        <w:rPr>
          <w:rFonts w:ascii="Verdana" w:hAnsi="Verdana"/>
        </w:rPr>
        <w:t>emploi définitivement vacant.</w:t>
      </w:r>
    </w:p>
    <w:p>
      <w:pPr>
        <w:rPr>
          <w:rFonts w:ascii="Verdana" w:hAnsi="Verdana" w:cs="Arial"/>
          <w:b/>
          <w:color w:val="000000" w:themeColor="text1"/>
          <w:u w:val="single"/>
        </w:rPr>
      </w:pP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 xml:space="preserve">Destinataires de l’appel : </w:t>
      </w:r>
      <w:r>
        <w:rPr>
          <w:rFonts w:ascii="Verdana" w:hAnsi="Verdana" w:cs="Arial"/>
          <w:color w:val="000000" w:themeColor="text1"/>
        </w:rPr>
        <w:t>Les membres du personnel exerçant leurs fonctions au sein de WBE.</w:t>
      </w:r>
    </w:p>
    <w:p>
      <w:pPr>
        <w:rPr>
          <w:rFonts w:ascii="Verdana" w:hAnsi="Verdana" w:cs="Arial"/>
          <w:b/>
          <w:color w:val="000000" w:themeColor="text1"/>
          <w:u w:val="single"/>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au plus tard le 16 décembre 2020 inclus</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r>
        <w:rPr>
          <w:rFonts w:ascii="Verdana" w:hAnsi="Verdana" w:cs="Verdana"/>
          <w:color w:val="0563C2"/>
        </w:rPr>
        <w:t>selection.promotion(at)w-b-e.be</w:t>
      </w:r>
      <w:r>
        <w:rPr>
          <w:rFonts w:ascii="Verdana" w:hAnsi="Verdana"/>
        </w:rPr>
        <w:br/>
        <w:t>Objet : WBE CE 2020 018</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Ou</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Direction des ressources humaines : Service sélection et promotion de l’enseignement. </w:t>
      </w:r>
      <w:r>
        <w:rPr>
          <w:rFonts w:ascii="Verdana" w:hAnsi="Verdana"/>
          <w:highlight w:val="yellow"/>
        </w:rPr>
        <w:br/>
      </w:r>
      <w:r>
        <w:rPr>
          <w:rFonts w:ascii="Verdana" w:hAnsi="Verdana"/>
        </w:rPr>
        <w:t>Wallonie Bruxelles Enseignement.</w:t>
      </w:r>
      <w:r>
        <w:rPr>
          <w:rFonts w:ascii="Verdana" w:hAnsi="Verdana"/>
        </w:rPr>
        <w:tab/>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complété pour  la fonction à pourvoir (voir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cas échéant, une copie des attestations de réussite obtenues dans le cadre de la formation initiale des directeurs (H/F/X) sera jointe au dossier de candidature.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pPr>
      <w:r>
        <w:rPr>
          <w:rFonts w:ascii="Verdana" w:hAnsi="Verdana"/>
        </w:rPr>
        <w:t>- Annexe 1 : Conditions d’accès à la fonction</w:t>
      </w:r>
      <w:r>
        <w:rPr>
          <w:rFonts w:ascii="Verdana" w:hAnsi="Verdana"/>
        </w:rPr>
        <w:tab/>
      </w:r>
      <w:r>
        <w:rPr>
          <w:rFonts w:ascii="Verdana" w:hAnsi="Verdana"/>
        </w:rPr>
        <w:br/>
        <w:t xml:space="preserve">- Annexe 2 : Profil de fonction établi par le Pouvoir organisateur. </w:t>
      </w:r>
      <w:r>
        <w:rPr>
          <w:rFonts w:ascii="Verdana" w:hAnsi="Verdana"/>
        </w:rPr>
        <w:tab/>
      </w:r>
      <w:r>
        <w:rPr>
          <w:rFonts w:ascii="Verdana" w:hAnsi="Verdana"/>
        </w:rPr>
        <w:br/>
        <w:t xml:space="preserve">- Annexe 3 : Formulaire de candidatures (disponible en version électronique sur notre site internet : </w:t>
      </w:r>
      <w:hyperlink r:id="rId9" w:history="1">
        <w:r>
          <w:rPr>
            <w:rStyle w:val="Lienhypertexte"/>
          </w:rPr>
          <w:t>https://www.w-b-e.be/jobs-carriere/evolution-de-carriere/emploisvacants/</w:t>
        </w:r>
      </w:hyperlink>
      <w:r>
        <w:t xml:space="preserve"> </w:t>
      </w:r>
      <w:r>
        <w:rPr>
          <w:rFonts w:ascii="Verdana" w:hAnsi="Verdana"/>
        </w:rPr>
        <w:t xml:space="preserve">et à joindre dans votre candidature)  </w:t>
      </w:r>
    </w:p>
    <w:p>
      <w:pPr>
        <w:spacing w:after="160" w:line="259" w:lineRule="auto"/>
        <w:rPr>
          <w:rFonts w:ascii="Verdana" w:hAnsi="Verdana"/>
          <w:b/>
        </w:rPr>
      </w:pPr>
      <w:r>
        <w:br w:type="page"/>
      </w: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Dans le formulaire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ab/>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Pr>
          <w:rFonts w:ascii="Verdana" w:eastAsia="Times New Roman" w:hAnsi="Verdana" w:cs="Arial"/>
          <w:color w:val="000000" w:themeColor="text1"/>
          <w:lang w:eastAsia="fr-FR"/>
        </w:rPr>
        <w:tab/>
        <w:t>-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Pr>
          <w:rFonts w:ascii="Verdana" w:eastAsia="Times New Roman" w:hAnsi="Verdana" w:cs="Arial"/>
          <w:color w:val="000000" w:themeColor="text1"/>
          <w:lang w:eastAsia="fr-FR"/>
        </w:rPr>
        <w:tab/>
        <w:t xml:space="preserve">- Athénée royal Victor Hugo Haren : les projets pédagogiques déjà mis en place, les </w:t>
      </w:r>
      <w:r>
        <w:rPr>
          <w:rFonts w:ascii="Verdana" w:eastAsia="Times New Roman" w:hAnsi="Verdana" w:cs="Verdana"/>
          <w:color w:val="000000" w:themeColor="text1"/>
          <w:lang w:eastAsia="fr-FR"/>
        </w:rPr>
        <w:t>caractéristiques de l’établissement, l’ancrage environnemental.</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*Partie 3 « Motivation ».</w:t>
      </w:r>
      <w:r>
        <w:rPr>
          <w:rFonts w:ascii="Verdana" w:eastAsia="Times New Roman" w:hAnsi="Verdana" w:cs="Arial"/>
          <w:color w:val="000000" w:themeColor="text1"/>
          <w:lang w:eastAsia="fr-FR"/>
        </w:rPr>
        <w:tab/>
      </w:r>
      <w:r>
        <w:rPr>
          <w:rFonts w:ascii="Verdana" w:eastAsia="Times New Roman" w:hAnsi="Verdana" w:cs="Arial"/>
          <w:color w:val="000000" w:themeColor="text1"/>
          <w:lang w:eastAsia="fr-FR"/>
        </w:rPr>
        <w:br/>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Le jury est prévu le 28 janvier 2021, une convocation sera envoyée aux candidats retenus après le 12 janvier 2021.</w:t>
      </w: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fournissant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Selection.promotion(at)w-b-e.be</w:t>
      </w:r>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0"/>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Secondaire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Etablissement : Athénée royal Victor Hugo Haren</w:t>
      </w:r>
    </w:p>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footerReference w:type="default" r:id="rId11"/>
          <w:headerReference w:type="first" r:id="rId12"/>
          <w:footerReference w:type="first" r:id="rId13"/>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WBE CE 2020 018</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 xml:space="preserve">Le directeur (H/F/X)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948"/>
        <w:gridCol w:w="986"/>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5"/>
          <w:wAfter w:w="4923" w:type="dxa"/>
          <w:trHeight w:val="269"/>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48"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w:t>
            </w:r>
            <w:r>
              <w:rPr>
                <w:rFonts w:ascii="Segoe UI Symbol" w:eastAsia="Times New Roman" w:hAnsi="Segoe UI Symbol" w:cs="Times New Roman"/>
                <w:color w:val="000000"/>
                <w:lang w:eastAsia="fr-FR"/>
              </w:rPr>
              <w:t>É</w:t>
            </w:r>
            <w:r>
              <w:rPr>
                <w:rFonts w:eastAsia="Times New Roman" w:cs="Times New Roman"/>
                <w:color w:val="000000"/>
                <w:lang w:eastAsia="fr-FR"/>
              </w:rPr>
              <w:t xml:space="preserve">tablissement                   </w:t>
            </w:r>
          </w:p>
        </w:tc>
        <w:tc>
          <w:tcPr>
            <w:tcW w:w="1280"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2"/>
          <w:wAfter w:w="1695" w:type="dxa"/>
          <w:trHeight w:val="460"/>
        </w:trPr>
        <w:tc>
          <w:tcPr>
            <w:tcW w:w="3155" w:type="dxa"/>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48" w:type="dxa"/>
            <w:shd w:val="clear" w:color="auto" w:fill="auto"/>
            <w:vAlign w:val="center"/>
          </w:tcPr>
          <w:p>
            <w:pPr>
              <w:tabs>
                <w:tab w:val="left" w:pos="1985"/>
              </w:tabs>
              <w:spacing w:after="0" w:line="240" w:lineRule="auto"/>
              <w:jc w:val="both"/>
            </w:pPr>
          </w:p>
        </w:tc>
        <w:tc>
          <w:tcPr>
            <w:tcW w:w="1280" w:type="dxa"/>
            <w:gridSpan w:val="2"/>
            <w:shd w:val="clear" w:color="auto" w:fill="auto"/>
            <w:vAlign w:val="center"/>
          </w:tcPr>
          <w:p>
            <w:pPr>
              <w:tabs>
                <w:tab w:val="left" w:pos="1985"/>
              </w:tabs>
              <w:spacing w:after="0" w:line="240" w:lineRule="auto"/>
              <w:jc w:val="both"/>
            </w:p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Pr>
          <w:rFonts w:eastAsia="Times New Roman" w:cs="Times New Roman"/>
          <w:bCs/>
          <w:color w:val="000000"/>
          <w:lang w:eastAsia="fr-FR"/>
        </w:rPr>
        <w:t>Nous</w:t>
      </w:r>
      <w:r>
        <w:rPr>
          <w:rFonts w:eastAsia="Times New Roman" w:cs="Times New Roman"/>
          <w:color w:val="000000"/>
          <w:lang w:eastAsia="fr-FR"/>
        </w:rPr>
        <w:t xml:space="preserve"> rassemblons </w:t>
      </w:r>
      <w:r>
        <w:rPr>
          <w:rFonts w:eastAsia="Times New Roman" w:cs="Times New Roman"/>
          <w:b/>
          <w:color w:val="000000"/>
          <w:lang w:eastAsia="fr-FR"/>
        </w:rPr>
        <w:t>365</w:t>
      </w:r>
      <w:r>
        <w:rPr>
          <w:rFonts w:eastAsia="Times New Roman" w:cs="Times New Roman"/>
          <w:color w:val="000000"/>
          <w:lang w:eastAsia="fr-FR"/>
        </w:rPr>
        <w:t xml:space="preserve"> établissements scolaires </w:t>
      </w:r>
      <w:r>
        <w:rPr>
          <w:rFonts w:eastAsia="Times New Roman" w:cs="Times New Roman"/>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à l’Athénée royal Victor Hugo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xml:space="preserve">Créer une identité à cette école nouvellement créée et développer un sentiment d’appartenance. </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d’établissement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veille, le cas échéant, à la bonne organisation des organes locaux de concertation sociale légaux et conventionnels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à l’Athénée royal Victor Hugo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Continuer et renforcer les synergies avec les écoles primaires avoisinantes, surtout à pédagogie active.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Continuer et renforcer les synergies avec l’implantation de Lauzelle à Louvain-la-Neuve.</w:t>
      </w:r>
      <w:r>
        <w:rPr>
          <w:rFonts w:ascii="Calibri" w:eastAsia="Times New Roman" w:hAnsi="Calibri" w:cs="Calibri"/>
          <w:bCs/>
          <w:lang w:eastAsia="fr-FR"/>
        </w:rPr>
        <w:tab/>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tbl>
      <w:tblPr>
        <w:tblpPr w:leftFromText="141" w:rightFromText="141" w:vertAnchor="text" w:horzAnchor="margin" w:tblpY="-9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à l’Athénée royal Victor Hugo </w:t>
      </w:r>
    </w:p>
    <w:p>
      <w:pPr>
        <w:tabs>
          <w:tab w:val="left" w:pos="1985"/>
        </w:tabs>
        <w:spacing w:after="0" w:line="240" w:lineRule="auto"/>
        <w:ind w:left="-70"/>
        <w:jc w:val="both"/>
      </w:pPr>
      <w:r>
        <w:t xml:space="preserve">Continuer le développement de la pédagogie active et l’organisation en P45 au sein de l’établissement. </w:t>
      </w:r>
    </w:p>
    <w:p>
      <w:pPr>
        <w:tabs>
          <w:tab w:val="left" w:pos="1985"/>
        </w:tabs>
        <w:spacing w:after="0" w:line="240" w:lineRule="auto"/>
        <w:ind w:left="-70"/>
        <w:jc w:val="both"/>
      </w:pPr>
      <w:r>
        <w:t>Encourager l’innovation des pratiques de pédagogie active au sein de l’équipe éducative.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 </w:t>
      </w: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tbl>
      <w:tblPr>
        <w:tblpPr w:leftFromText="141" w:rightFromText="141" w:vertAnchor="text" w:horzAnchor="margin" w:tblpY="-1200"/>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ascii="Calibri" w:eastAsia="Times New Roman" w:hAnsi="Calibri" w:cs="Calibri"/>
          <w:bCs/>
          <w:i/>
          <w:sz w:val="24"/>
          <w:highlight w:val="red"/>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ascii="Calibri" w:eastAsia="Times New Roman" w:hAnsi="Calibri" w:cs="Calibri"/>
          <w:bCs/>
          <w:i/>
          <w:sz w:val="24"/>
          <w:highlight w:val="red"/>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tbl>
      <w:tblPr>
        <w:tblpPr w:leftFromText="141" w:rightFromText="141" w:vertAnchor="text" w:horzAnchor="margin" w:tblpY="-87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eastAsia="Times New Roman" w:cs="Calibri"/>
          <w:bCs/>
          <w:i/>
          <w:sz w:val="28"/>
          <w:shd w:val="clear" w:color="auto" w:fill="F4AA00"/>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à l’Athénée royal Victor Hugo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Se former dans la matière du socio-constructivisme et se tenir informer des avancées dans ce domaine en particulier. </w:t>
      </w:r>
    </w:p>
    <w:p>
      <w:pPr>
        <w:tabs>
          <w:tab w:val="left" w:pos="1985"/>
        </w:tabs>
        <w:spacing w:after="0" w:line="240" w:lineRule="auto"/>
        <w:ind w:left="-70"/>
        <w:jc w:val="both"/>
        <w:rPr>
          <w:rFonts w:eastAsia="Times New Roman" w:cs="Calibri"/>
          <w:lang w:eastAsia="fr-FR"/>
        </w:rPr>
      </w:pPr>
      <w:r>
        <w:rPr>
          <w:rFonts w:eastAsia="Times New Roman" w:cs="Calibri"/>
          <w:lang w:eastAsia="fr-FR"/>
        </w:rPr>
        <w:t>Se tenir informé des avancées pédagogiques.</w:t>
      </w:r>
    </w:p>
    <w:p>
      <w:pPr>
        <w:tabs>
          <w:tab w:val="left" w:pos="1985"/>
        </w:tabs>
        <w:spacing w:after="0" w:line="240" w:lineRule="auto"/>
        <w:ind w:left="-70"/>
        <w:jc w:val="both"/>
        <w:rPr>
          <w:rFonts w:ascii="Calibri" w:eastAsia="Times New Roman" w:hAnsi="Calibri" w:cs="Calibri"/>
          <w:u w:val="single"/>
          <w:lang w:eastAsia="fr-BE"/>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Y="-86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710"/>
        <w:gridCol w:w="850"/>
      </w:tblGrid>
      <w:tr>
        <w:trPr>
          <w:trHeight w:val="586"/>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bookmarkStart w:id="19" w:name="__UnoMark__749_2749759877"/>
            <w:bookmarkEnd w:id="19"/>
            <w:r>
              <w:t>attendu :</w:t>
            </w:r>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En jury</w:t>
            </w:r>
            <w:bookmarkStart w:id="23" w:name="__UnoMark__753_2749759877"/>
            <w:bookmarkEnd w:id="23"/>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Start w:id="25" w:name="__UnoMark__755_2749759877"/>
            <w:bookmarkEnd w:id="24"/>
            <w:bookmarkEnd w:id="25"/>
            <w:r>
              <w:rPr>
                <w:rFonts w:eastAsia="Times New Roman" w:cs="Calibri"/>
                <w:lang w:eastAsia="fr-FR"/>
              </w:rPr>
              <w:t>À terme</w:t>
            </w:r>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w:t>
            </w:r>
            <w:bookmarkStart w:id="35" w:name="__UnoMark__765_2749759877"/>
            <w:bookmarkEnd w:id="35"/>
            <w:r>
              <w:rPr>
                <w:rFonts w:eastAsia="Times New Roman" w:cs="Calibri"/>
                <w:b/>
                <w:lang w:eastAsia="fr-FR"/>
              </w:rPr>
              <w:t>e</w:t>
            </w:r>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color w:val="000000"/>
                <w:lang w:eastAsia="fr-FR"/>
              </w:rPr>
              <w:t>Être capable de gérer des réunions.</w:t>
            </w:r>
            <w:bookmarkStart w:id="53" w:name="__UnoMark__783_2749759877"/>
            <w:bookmarkEnd w:id="53"/>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color w:val="000000"/>
                <w:lang w:eastAsia="fr-FR"/>
              </w:rPr>
              <w:t>Être capable de gérer des conflits.</w:t>
            </w:r>
            <w:bookmarkStart w:id="59" w:name="__UnoMark__789_2749759877"/>
            <w:bookmarkEnd w:id="5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color w:val="000000"/>
                <w:lang w:eastAsia="fr-FR"/>
              </w:rPr>
              <w:t>Avoir des compétences en gestion administrative, financière et matérielle de l’établissement.</w:t>
            </w:r>
            <w:bookmarkStart w:id="68" w:name="__UnoMark__803_2749759877"/>
            <w:bookmarkEnd w:id="68"/>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3" w:name="__UnoMark__808_2749759877"/>
            <w:bookmarkEnd w:id="73"/>
            <w:r>
              <w:rPr>
                <w:rFonts w:eastAsia="Times New Roman" w:cs="Calibri"/>
                <w:color w:val="000000"/>
                <w:lang w:eastAsia="fr-FR"/>
              </w:rPr>
              <w:t>Avoir des compétences de gestion de l’infrastructure de l'école.</w:t>
            </w:r>
            <w:bookmarkStart w:id="74" w:name="__UnoMark__809_2749759877"/>
            <w:bookmarkEnd w:id="7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9" w:name="__UnoMark__814_2749759877"/>
            <w:bookmarkEnd w:id="79"/>
            <w:r>
              <w:rPr>
                <w:rFonts w:eastAsia="Times New Roman" w:cs="Calibri"/>
                <w:color w:val="000000"/>
                <w:lang w:eastAsia="fr-FR"/>
              </w:rPr>
              <w:t xml:space="preserve">Avoir des compétences de gestion des ressources financières. </w:t>
            </w:r>
            <w:bookmarkStart w:id="80" w:name="__UnoMark__815_2749759877"/>
            <w:bookmarkEnd w:id="8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5" w:name="__UnoMark__820_2749759877"/>
            <w:bookmarkEnd w:id="85"/>
            <w:r>
              <w:rPr>
                <w:rFonts w:eastAsia="Times New Roman" w:cs="Calibri"/>
                <w:color w:val="000000"/>
                <w:lang w:eastAsia="fr-FR"/>
              </w:rPr>
              <w:t xml:space="preserve">Avoir des compétences en gestion des ressources humaines. </w:t>
            </w:r>
            <w:bookmarkStart w:id="86" w:name="__UnoMark__821_2749759877"/>
            <w:bookmarkEnd w:id="86"/>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7" w:name="__UnoMark__822_2749759877"/>
            <w:bookmarkEnd w:id="87"/>
            <w:r>
              <w:rPr>
                <w:rFonts w:eastAsia="Times New Roman" w:cs="Calibri"/>
                <w:lang w:eastAsia="fr-FR"/>
              </w:rPr>
              <w:t>B</w:t>
            </w:r>
            <w:bookmarkStart w:id="88" w:name="__UnoMark__823_2749759877"/>
            <w:bookmarkEnd w:id="88"/>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9" w:name="__UnoMark__824_2749759877"/>
            <w:bookmarkEnd w:id="89"/>
            <w:r>
              <w:rPr>
                <w:rFonts w:eastAsia="Times New Roman" w:cs="Calibri"/>
                <w:lang w:eastAsia="fr-FR"/>
              </w:rPr>
              <w:t>C</w:t>
            </w:r>
            <w:bookmarkStart w:id="90" w:name="__UnoMark__825_2749759877"/>
            <w:bookmarkEnd w:id="90"/>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3" w:name="__UnoMark__828_2749759877"/>
            <w:bookmarkEnd w:id="93"/>
            <w:r>
              <w:rPr>
                <w:rFonts w:eastAsia="Times New Roman" w:cs="Calibri"/>
                <w:lang w:eastAsia="fr-FR"/>
              </w:rPr>
              <w:t xml:space="preserve">Maitriser les techniques de la communication écrite. </w:t>
            </w:r>
            <w:bookmarkStart w:id="94" w:name="__UnoMark__829_2749759877"/>
            <w:bookmarkEnd w:id="9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5" w:name="__UnoMark__830_2749759877"/>
            <w:bookmarkEnd w:id="95"/>
            <w:r>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7" w:name="__UnoMark__832_2749759877"/>
            <w:bookmarkEnd w:id="97"/>
            <w:r>
              <w:rPr>
                <w:rFonts w:eastAsia="Times New Roman" w:cs="Calibri"/>
                <w:lang w:eastAsia="fr-FR"/>
              </w:rPr>
              <w:t>D</w:t>
            </w:r>
            <w:bookmarkStart w:id="98" w:name="__UnoMark__833_2749759877"/>
            <w:bookmarkEnd w:id="98"/>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9" w:name="__UnoMark__834_2749759877"/>
            <w:bookmarkEnd w:id="99"/>
            <w:r>
              <w:rPr>
                <w:rFonts w:eastAsia="Times New Roman" w:cs="Calibri"/>
                <w:lang w:eastAsia="fr-FR"/>
              </w:rPr>
              <w:t xml:space="preserve">Maitriser les techniques de la communication orale. </w:t>
            </w:r>
            <w:bookmarkStart w:id="100" w:name="__UnoMark__835_2749759877"/>
            <w:bookmarkEnd w:id="10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6_2749759877"/>
            <w:bookmarkEnd w:id="101"/>
            <w:r>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3" w:name="__UnoMark__838_2749759877"/>
            <w:bookmarkEnd w:id="103"/>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headerReference w:type="default" r:id="rId14"/>
          <w:footerReference w:type="default" r:id="rId15"/>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823"/>
        <w:gridCol w:w="852"/>
        <w:gridCol w:w="160"/>
      </w:tblGrid>
      <w:tr>
        <w:trPr>
          <w:cantSplit/>
          <w:trHeight w:val="564"/>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Niveau attendu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En jury</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À terme</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40"/>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eastAsia="Times New Roman" w:cs="Calibri"/>
                <w:lang w:val="fr-FR" w:eastAsia="fr-FR"/>
              </w:rPr>
            </w:pPr>
            <w:r>
              <w:rPr>
                <w:rFonts w:ascii="Calibri" w:hAnsi="Calibri" w:cs="Calibri"/>
              </w:rPr>
              <w:t>Définir les objectifs de manière pro active, étayer des plans d'actions de manière minutieuse en y impliquant des bonnes ressources dans les délais disponibles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p>
      <w:pPr>
        <w:jc w:val="both"/>
        <w:rPr>
          <w:rFonts w:ascii="Verdana" w:hAnsi="Verdana"/>
        </w:rPr>
      </w:pPr>
      <w:r>
        <w:rPr>
          <w:rFonts w:cs="Arial"/>
          <w:b/>
          <w:szCs w:val="20"/>
        </w:rPr>
        <w:t>Il faut minimum 60% des points pour figurer dans le classement des lauréats potentiels (minimum de 60/100) soit : 81/135.</w:t>
      </w:r>
    </w:p>
    <w:tbl>
      <w:tblPr>
        <w:tblpPr w:leftFromText="141" w:rightFromText="141" w:vertAnchor="page" w:horzAnchor="margin" w:tblpY="4783"/>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jc w:val="both"/>
        <w:rPr>
          <w:rFonts w:cs="Arial"/>
          <w:b/>
          <w:szCs w:val="20"/>
        </w:rPr>
      </w:pP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Souder des équipes </w:t>
      </w:r>
      <w:r>
        <w:rPr>
          <w:rFonts w:eastAsia="Times New Roman"/>
          <w:lang w:eastAsia="fr-FR"/>
        </w:rPr>
        <w:t>».</w:t>
      </w:r>
      <w:r>
        <w:t>  Si pour cette partie, des personnes ont des points égaux, leur classement sera établi de manière aléatoire.</w:t>
      </w:r>
    </w:p>
    <w:p>
      <w:pPr>
        <w:jc w:val="both"/>
        <w:rPr>
          <w:rFonts w:cstheme="minorHAnsi"/>
          <w:highlight w:val="yellow"/>
        </w:rPr>
      </w:pPr>
    </w:p>
    <w:sectPr>
      <w:headerReference w:type="default" r:id="rId16"/>
      <w:footerReference w:type="default" r:id="rId17"/>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8" behindDoc="1" locked="0" layoutInCell="1" allowOverlap="1">
          <wp:simplePos x="0" y="0"/>
          <wp:positionH relativeFrom="margin">
            <wp:align>center</wp:align>
          </wp:positionH>
          <wp:positionV relativeFrom="paragraph">
            <wp:posOffset>-309880</wp:posOffset>
          </wp:positionV>
          <wp:extent cx="593725" cy="672465"/>
          <wp:effectExtent l="0" t="0" r="0" b="0"/>
          <wp:wrapNone/>
          <wp:docPr id="6"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6</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15</w:t>
    </w:r>
    <w:r>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10" behindDoc="1" locked="0" layoutInCell="1" allowOverlap="1">
          <wp:simplePos x="0" y="0"/>
          <wp:positionH relativeFrom="margin">
            <wp:posOffset>2591806</wp:posOffset>
          </wp:positionH>
          <wp:positionV relativeFrom="paragraph">
            <wp:posOffset>-557075</wp:posOffset>
          </wp:positionV>
          <wp:extent cx="593725" cy="672465"/>
          <wp:effectExtent l="0" t="0" r="0" b="0"/>
          <wp:wrapNone/>
          <wp:docPr id="8"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13</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15</w:t>
    </w:r>
    <w:r>
      <w:rPr>
        <w:rFonts w:cs="Calibr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15</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15</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7"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1"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8333">
      <w:bodyDiv w:val="1"/>
      <w:marLeft w:val="0"/>
      <w:marRight w:val="0"/>
      <w:marTop w:val="0"/>
      <w:marBottom w:val="0"/>
      <w:divBdr>
        <w:top w:val="none" w:sz="0" w:space="0" w:color="auto"/>
        <w:left w:val="none" w:sz="0" w:space="0" w:color="auto"/>
        <w:bottom w:val="none" w:sz="0" w:space="0" w:color="auto"/>
        <w:right w:val="none" w:sz="0" w:space="0" w:color="auto"/>
      </w:divBdr>
    </w:div>
    <w:div w:id="1577351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w-b-e.be/jobs-carriere/evolution-de-carriere/emploisvacants/"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2E7307-7A02-4EF7-9A00-7358517C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4060</Words>
  <Characters>22335</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ETNIC</cp:lastModifiedBy>
  <cp:revision>2</cp:revision>
  <cp:lastPrinted>2020-09-16T15:26:00Z</cp:lastPrinted>
  <dcterms:created xsi:type="dcterms:W3CDTF">2020-11-25T08:57:00Z</dcterms:created>
  <dcterms:modified xsi:type="dcterms:W3CDTF">2020-11-25T08:57:00Z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